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Times New Roman" w:hAnsi="Times New Roman" w:cs="Times New Roman"/>
          <w:b/>
          <w:color w:val="2f5496" w:themeColor="accent5" w:themeShade="BF"/>
          <w:sz w:val="36"/>
          <w:szCs w:val="36"/>
        </w:rPr>
      </w:pPr>
      <w:r>
        <w:rPr>
          <w:rFonts w:ascii="Times New Roman" w:hAnsi="Times New Roman" w:eastAsia="Times New Roman" w:cs="Times New Roman"/>
          <w:b/>
          <w:color w:val="2f5496" w:themeColor="accent5" w:themeShade="BF"/>
          <w:sz w:val="36"/>
          <w:szCs w:val="36"/>
        </w:rPr>
        <w:t xml:space="preserve">Карта клиентского пути</w:t>
      </w:r>
      <w:r>
        <w:rPr>
          <w:rFonts w:ascii="Times New Roman" w:hAnsi="Times New Roman" w:cs="Times New Roman"/>
          <w:b/>
          <w:color w:val="2f5496" w:themeColor="accent5" w:themeShade="BF"/>
          <w:sz w:val="36"/>
          <w:szCs w:val="36"/>
        </w:rPr>
      </w:r>
    </w:p>
    <w:p>
      <w:pPr>
        <w:jc w:val="center"/>
        <w:rPr>
          <w:rFonts w:ascii="Times New Roman" w:hAnsi="Times New Roman" w:cs="Times New Roman"/>
          <w:b/>
          <w:color w:val="2f5496" w:themeColor="accent5" w:themeShade="BF"/>
          <w:sz w:val="36"/>
          <w:szCs w:val="36"/>
        </w:rPr>
      </w:pPr>
      <w:r>
        <w:rPr>
          <w:rFonts w:ascii="Times New Roman" w:hAnsi="Times New Roman" w:eastAsia="Times New Roman" w:cs="Times New Roman"/>
          <w:b/>
          <w:color w:val="2f5496" w:themeColor="accent5" w:themeShade="BF"/>
          <w:sz w:val="36"/>
          <w:szCs w:val="36"/>
        </w:rPr>
        <w:t xml:space="preserve">(</w:t>
      </w:r>
      <w:r>
        <w:rPr>
          <w:rFonts w:ascii="Times New Roman" w:hAnsi="Times New Roman" w:eastAsia="Times New Roman" w:cs="Times New Roman"/>
          <w:b/>
          <w:color w:val="2f5496" w:themeColor="accent5" w:themeShade="BF"/>
          <w:sz w:val="36"/>
          <w:szCs w:val="36"/>
        </w:rPr>
        <w:t xml:space="preserve">г</w:t>
      </w:r>
      <w:r>
        <w:rPr>
          <w:rFonts w:ascii="Times New Roman" w:hAnsi="Times New Roman" w:eastAsia="Times New Roman" w:cs="Times New Roman"/>
          <w:b/>
          <w:color w:val="2f5496" w:themeColor="accent5" w:themeShade="BF"/>
          <w:sz w:val="36"/>
          <w:szCs w:val="36"/>
        </w:rPr>
        <w:t xml:space="preserve">осударственная услуг</w:t>
      </w:r>
      <w:r>
        <w:rPr>
          <w:rFonts w:ascii="Times New Roman" w:hAnsi="Times New Roman" w:eastAsia="Times New Roman" w:cs="Times New Roman"/>
          <w:b/>
          <w:color w:val="2f5496" w:themeColor="accent5" w:themeShade="BF"/>
          <w:sz w:val="36"/>
          <w:szCs w:val="36"/>
        </w:rPr>
        <w:t xml:space="preserve">а</w:t>
      </w:r>
      <w:r>
        <w:rPr>
          <w:rFonts w:ascii="Times New Roman" w:hAnsi="Times New Roman" w:eastAsia="Times New Roman" w:cs="Times New Roman"/>
          <w:b/>
          <w:color w:val="2f5496" w:themeColor="accent5" w:themeShade="BF"/>
          <w:sz w:val="36"/>
          <w:szCs w:val="36"/>
        </w:rPr>
        <w:t xml:space="preserve"> -</w:t>
      </w:r>
      <w:r>
        <w:rPr>
          <w:rFonts w:ascii="Times New Roman" w:hAnsi="Times New Roman" w:eastAsia="Times New Roman" w:cs="Times New Roman"/>
          <w:b/>
          <w:color w:val="2f5496" w:themeColor="accent5" w:themeShade="BF"/>
          <w:sz w:val="36"/>
          <w:szCs w:val="36"/>
        </w:rPr>
        <w:t xml:space="preserve"> </w:t>
      </w:r>
      <w:r>
        <w:rPr>
          <w:rFonts w:ascii="Times New Roman" w:hAnsi="Times New Roman" w:eastAsia="Times New Roman" w:cs="Times New Roman"/>
          <w:b/>
          <w:color w:val="2f5496" w:themeColor="accent5" w:themeShade="BF"/>
          <w:sz w:val="36"/>
          <w:szCs w:val="36"/>
        </w:rPr>
        <w:t xml:space="preserve">Оценка качества оказываемых социально ориентированной некоммерческой организацией общественно полезных услуг</w:t>
      </w:r>
      <w:r>
        <w:rPr>
          <w:rFonts w:ascii="Times New Roman" w:hAnsi="Times New Roman" w:eastAsia="Times New Roman" w:cs="Times New Roman"/>
          <w:b/>
          <w:color w:val="2f5496" w:themeColor="accent5" w:themeShade="BF"/>
          <w:sz w:val="36"/>
          <w:szCs w:val="36"/>
        </w:rPr>
        <w:t xml:space="preserve">)</w:t>
      </w:r>
      <w:r>
        <w:rPr>
          <w:rFonts w:ascii="Times New Roman" w:hAnsi="Times New Roman" w:cs="Times New Roman"/>
          <w:b/>
          <w:color w:val="2f5496" w:themeColor="accent5" w:themeShade="BF"/>
          <w:sz w:val="36"/>
          <w:szCs w:val="36"/>
        </w:rPr>
      </w:r>
    </w:p>
    <w:tbl>
      <w:tblPr>
        <w:tblStyle w:val="647"/>
        <w:tblpPr w:horzAnchor="margin" w:tblpXSpec="left" w:vertAnchor="page" w:tblpY="3114" w:leftFromText="180" w:topFromText="0" w:rightFromText="180" w:bottomFromText="0"/>
        <w:tblW w:w="0" w:type="auto"/>
        <w:tblBorders>
          <w:top w:val="single" w:color="8EAADB" w:themeColor="accent5" w:themeTint="99" w:sz="4" w:space="0"/>
          <w:left w:val="none" w:color="auto" w:sz="0" w:space="0"/>
          <w:bottom w:val="single" w:color="8EAADB" w:themeColor="accent5" w:themeTint="99" w:sz="4" w:space="0"/>
          <w:right w:val="none" w:color="auto" w:sz="0" w:space="0"/>
          <w:insideH w:val="single" w:color="8EAADB" w:themeColor="accent5" w:themeTint="99" w:sz="4" w:space="0"/>
          <w:insideV w:val="single" w:color="8EAADB" w:themeColor="accent5" w:themeTint="99" w:sz="4" w:space="0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36"/>
        <w:gridCol w:w="1386"/>
        <w:gridCol w:w="1512"/>
        <w:gridCol w:w="1684"/>
        <w:gridCol w:w="2018"/>
        <w:gridCol w:w="1598"/>
        <w:gridCol w:w="1615"/>
        <w:gridCol w:w="1554"/>
        <w:gridCol w:w="1484"/>
        <w:gridCol w:w="1499"/>
      </w:tblGrid>
      <w:tr>
        <w:tblPrEx/>
        <w:trPr>
          <w:trHeight w:val="335"/>
        </w:trPr>
        <w:tc>
          <w:tcPr>
            <w:shd w:val="clear" w:color="auto" w:fill="1f3864" w:themeFill="accent5" w:themeFillShade="80"/>
            <w:tcW w:w="0" w:type="auto"/>
            <w:vAlign w:val="center"/>
            <w:vMerge w:val="restart"/>
            <w:textDirection w:val="lrTb"/>
            <w:noWrap w:val="false"/>
          </w:tcPr>
          <w:p>
            <w:pPr>
              <w:pStyle w:val="648"/>
              <w:numPr>
                <w:ilvl w:val="0"/>
                <w:numId w:val="0"/>
              </w:numP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ffffff" w:themeColor="background1"/>
                <w:sz w:val="20"/>
                <w:szCs w:val="20"/>
              </w:rPr>
              <w:t xml:space="preserve">№</w:t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</w:p>
        </w:tc>
        <w:tc>
          <w:tcPr>
            <w:shd w:val="clear" w:color="auto" w:fill="1f3864" w:themeFill="accent5" w:themeFillShade="80"/>
            <w:tcW w:w="0" w:type="auto"/>
            <w:vAlign w:val="center"/>
            <w:vMerge w:val="restart"/>
            <w:textDirection w:val="lrTb"/>
            <w:noWrap w:val="false"/>
          </w:tcPr>
          <w:p>
            <w:pPr>
              <w:pStyle w:val="648"/>
              <w:numPr>
                <w:ilvl w:val="0"/>
                <w:numId w:val="0"/>
              </w:numPr>
              <w:jc w:val="center"/>
              <w:rPr>
                <w:rFonts w:ascii="Times New Roman" w:hAnsi="Times New Roman" w:cs="Times New Roman"/>
                <w:color w:val="bfbfbf" w:themeColor="background1" w:themeShade="BF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ffffff" w:themeColor="background1"/>
                <w:sz w:val="20"/>
                <w:szCs w:val="20"/>
              </w:rPr>
              <w:t xml:space="preserve">Этап</w:t>
            </w:r>
            <w:r>
              <w:rPr>
                <w:rFonts w:ascii="Times New Roman" w:hAnsi="Times New Roman" w:cs="Times New Roman"/>
                <w:color w:val="bfbfbf" w:themeColor="background1" w:themeShade="BF"/>
                <w:sz w:val="20"/>
                <w:szCs w:val="20"/>
              </w:rPr>
            </w:r>
          </w:p>
        </w:tc>
        <w:tc>
          <w:tcPr>
            <w:shd w:val="clear" w:color="auto" w:fill="1f3864" w:themeFill="accent5" w:themeFillShade="80"/>
            <w:tcW w:w="0" w:type="auto"/>
            <w:vAlign w:val="center"/>
            <w:vMerge w:val="restart"/>
            <w:textDirection w:val="lrTb"/>
            <w:noWrap w:val="false"/>
          </w:tcPr>
          <w:p>
            <w:pPr>
              <w:pStyle w:val="648"/>
              <w:numPr>
                <w:ilvl w:val="0"/>
                <w:numId w:val="0"/>
              </w:numPr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ffffff" w:themeColor="background1"/>
                <w:sz w:val="20"/>
                <w:szCs w:val="20"/>
              </w:rPr>
              <w:t xml:space="preserve">Цели и ожидания</w:t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</w:p>
        </w:tc>
        <w:tc>
          <w:tcPr>
            <w:shd w:val="clear" w:color="auto" w:fill="1f3864" w:themeFill="accent5" w:themeFillShade="80"/>
            <w:tcW w:w="0" w:type="auto"/>
            <w:vAlign w:val="center"/>
            <w:vMerge w:val="restart"/>
            <w:textDirection w:val="lrTb"/>
            <w:noWrap w:val="false"/>
          </w:tcPr>
          <w:p>
            <w:pPr>
              <w:pStyle w:val="648"/>
              <w:numPr>
                <w:ilvl w:val="0"/>
                <w:numId w:val="0"/>
              </w:numPr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ffffff" w:themeColor="background1"/>
                <w:sz w:val="20"/>
                <w:szCs w:val="20"/>
              </w:rPr>
              <w:t xml:space="preserve">Действия клиента</w:t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</w:p>
        </w:tc>
        <w:tc>
          <w:tcPr>
            <w:shd w:val="clear" w:color="auto" w:fill="1f3864" w:themeFill="accent5" w:themeFillShade="80"/>
            <w:tcW w:w="0" w:type="auto"/>
            <w:vAlign w:val="center"/>
            <w:vMerge w:val="restart"/>
            <w:textDirection w:val="lrTb"/>
            <w:noWrap w:val="false"/>
          </w:tcPr>
          <w:p>
            <w:pPr>
              <w:pStyle w:val="648"/>
              <w:numPr>
                <w:ilvl w:val="0"/>
                <w:numId w:val="0"/>
              </w:numPr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ffffff" w:themeColor="background1"/>
                <w:sz w:val="20"/>
                <w:szCs w:val="20"/>
              </w:rPr>
              <w:t xml:space="preserve">Точки контакта</w:t>
            </w:r>
            <w:r>
              <w:rPr>
                <w:rFonts w:ascii="Times New Roman" w:hAnsi="Times New Roman" w:eastAsia="Times New Roman" w:cs="Times New Roman"/>
                <w:b/>
                <w:color w:val="ffffff" w:themeColor="background1"/>
                <w:sz w:val="20"/>
                <w:szCs w:val="20"/>
              </w:rPr>
              <w:br/>
              <w:t xml:space="preserve">(опционально)</w:t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</w:p>
        </w:tc>
        <w:tc>
          <w:tcPr>
            <w:shd w:val="clear" w:color="auto" w:fill="1f3864" w:themeFill="accent5" w:themeFillShade="80"/>
            <w:tcW w:w="0" w:type="auto"/>
            <w:vAlign w:val="center"/>
            <w:vMerge w:val="restart"/>
            <w:textDirection w:val="lrTb"/>
            <w:noWrap w:val="false"/>
          </w:tcPr>
          <w:p>
            <w:pPr>
              <w:pStyle w:val="648"/>
              <w:numPr>
                <w:ilvl w:val="0"/>
                <w:numId w:val="0"/>
              </w:numPr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ffffff" w:themeColor="background1"/>
                <w:sz w:val="20"/>
                <w:szCs w:val="20"/>
              </w:rPr>
              <w:t xml:space="preserve">Эмоциональная составляющая</w:t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</w:p>
        </w:tc>
        <w:tc>
          <w:tcPr>
            <w:shd w:val="clear" w:color="auto" w:fill="1f3864" w:themeFill="accent5" w:themeFillShade="80"/>
            <w:tcW w:w="0" w:type="auto"/>
            <w:vMerge w:val="restart"/>
            <w:textDirection w:val="lrTb"/>
            <w:noWrap w:val="false"/>
          </w:tcPr>
          <w:p>
            <w:pPr>
              <w:pStyle w:val="648"/>
              <w:numPr>
                <w:ilvl w:val="0"/>
                <w:numId w:val="0"/>
              </w:numPr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ffffff" w:themeColor="background1"/>
                <w:sz w:val="20"/>
                <w:szCs w:val="20"/>
              </w:rPr>
              <w:t xml:space="preserve">Метрики</w:t>
            </w:r>
            <w:r>
              <w:rPr>
                <w:rFonts w:ascii="Times New Roman" w:hAnsi="Times New Roman" w:eastAsia="Times New Roman" w:cs="Times New Roman"/>
                <w:b/>
                <w:color w:val="ffffff" w:themeColor="background1"/>
                <w:sz w:val="20"/>
                <w:szCs w:val="20"/>
              </w:rPr>
              <w:br/>
              <w:t xml:space="preserve">(опционально)</w:t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</w:p>
        </w:tc>
        <w:tc>
          <w:tcPr>
            <w:gridSpan w:val="2"/>
            <w:shd w:val="clear" w:color="auto" w:fill="1f3864" w:themeFill="accent5" w:themeFillShade="80"/>
            <w:tcW w:w="0" w:type="auto"/>
            <w:vAlign w:val="center"/>
            <w:textDirection w:val="lrTb"/>
            <w:noWrap w:val="false"/>
          </w:tcPr>
          <w:p>
            <w:pPr>
              <w:pStyle w:val="648"/>
              <w:numPr>
                <w:ilvl w:val="0"/>
                <w:numId w:val="0"/>
              </w:numPr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ffffff" w:themeColor="background1"/>
                <w:sz w:val="20"/>
                <w:szCs w:val="20"/>
              </w:rPr>
              <w:t xml:space="preserve">Опыт клиента</w:t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</w:p>
        </w:tc>
        <w:tc>
          <w:tcPr>
            <w:shd w:val="clear" w:color="auto" w:fill="1f3864" w:themeFill="accent5" w:themeFillShade="80"/>
            <w:tcW w:w="0" w:type="auto"/>
            <w:vAlign w:val="center"/>
            <w:vMerge w:val="restart"/>
            <w:textDirection w:val="lrTb"/>
            <w:noWrap w:val="false"/>
          </w:tcPr>
          <w:p>
            <w:pPr>
              <w:pStyle w:val="648"/>
              <w:numPr>
                <w:ilvl w:val="0"/>
                <w:numId w:val="0"/>
              </w:numPr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ffffff" w:themeColor="background1"/>
                <w:sz w:val="20"/>
                <w:szCs w:val="20"/>
              </w:rPr>
              <w:t xml:space="preserve">Рекомендации Лаборатории</w:t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</w:p>
        </w:tc>
      </w:tr>
      <w:tr>
        <w:tblPrEx/>
        <w:trPr>
          <w:trHeight w:val="335"/>
        </w:trPr>
        <w:tc>
          <w:tcPr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pStyle w:val="648"/>
              <w:numPr>
                <w:ilvl w:val="0"/>
                <w:numId w:val="0"/>
              </w:numPr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pPr>
            <w:r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r>
            <w:r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r>
          </w:p>
        </w:tc>
        <w:tc>
          <w:tcPr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pStyle w:val="648"/>
              <w:numPr>
                <w:ilvl w:val="0"/>
                <w:numId w:val="0"/>
              </w:numPr>
              <w:rPr>
                <w:rFonts w:ascii="Golos Text" w:hAnsi="Golos Text" w:cs="Golos Text"/>
                <w:color w:val="bfbfbf" w:themeColor="background1" w:themeShade="BF"/>
                <w:sz w:val="20"/>
                <w:szCs w:val="20"/>
              </w:rPr>
            </w:pPr>
            <w:r>
              <w:rPr>
                <w:rFonts w:ascii="Golos Text" w:hAnsi="Golos Text" w:cs="Golos Text"/>
                <w:color w:val="bfbfbf" w:themeColor="background1" w:themeShade="BF"/>
                <w:sz w:val="20"/>
                <w:szCs w:val="20"/>
              </w:rPr>
            </w:r>
            <w:r>
              <w:rPr>
                <w:rFonts w:ascii="Golos Text" w:hAnsi="Golos Text" w:cs="Golos Text"/>
                <w:color w:val="bfbfbf" w:themeColor="background1" w:themeShade="BF"/>
                <w:sz w:val="20"/>
                <w:szCs w:val="20"/>
              </w:rPr>
            </w:r>
          </w:p>
        </w:tc>
        <w:tc>
          <w:tcPr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pStyle w:val="648"/>
              <w:numPr>
                <w:ilvl w:val="0"/>
                <w:numId w:val="0"/>
              </w:numPr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pPr>
            <w:r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r>
            <w:r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r>
          </w:p>
        </w:tc>
        <w:tc>
          <w:tcPr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pStyle w:val="648"/>
              <w:numPr>
                <w:ilvl w:val="0"/>
                <w:numId w:val="0"/>
              </w:numPr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pPr>
            <w:r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r>
            <w:r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r>
          </w:p>
        </w:tc>
        <w:tc>
          <w:tcPr>
            <w:shd w:val="clear" w:color="auto" w:fill="1f3864" w:themeFill="accent5" w:themeFillShade="80"/>
            <w:tcW w:w="0" w:type="auto"/>
            <w:vMerge w:val="continue"/>
            <w:textDirection w:val="lrTb"/>
            <w:noWrap w:val="false"/>
          </w:tcPr>
          <w:p>
            <w:pPr>
              <w:pStyle w:val="648"/>
              <w:numPr>
                <w:ilvl w:val="0"/>
                <w:numId w:val="0"/>
              </w:numPr>
              <w:jc w:val="center"/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r>
            <w:r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r>
          </w:p>
        </w:tc>
        <w:tc>
          <w:tcPr>
            <w:shd w:val="clear" w:color="auto" w:fill="1f3864" w:themeFill="accent5" w:themeFillShade="80"/>
            <w:tcW w:w="0" w:type="auto"/>
            <w:vMerge w:val="continue"/>
            <w:textDirection w:val="lrTb"/>
            <w:noWrap w:val="false"/>
          </w:tcPr>
          <w:p>
            <w:pPr>
              <w:pStyle w:val="648"/>
              <w:numPr>
                <w:ilvl w:val="0"/>
                <w:numId w:val="0"/>
              </w:numPr>
              <w:jc w:val="center"/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r>
            <w:r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r>
          </w:p>
        </w:tc>
        <w:tc>
          <w:tcPr>
            <w:shd w:val="clear" w:color="auto" w:fill="1f3864" w:themeFill="accent5" w:themeFillShade="80"/>
            <w:tcW w:w="0" w:type="auto"/>
            <w:vMerge w:val="continue"/>
            <w:textDirection w:val="lrTb"/>
            <w:noWrap w:val="false"/>
          </w:tcPr>
          <w:p>
            <w:pPr>
              <w:pStyle w:val="648"/>
              <w:numPr>
                <w:ilvl w:val="0"/>
                <w:numId w:val="0"/>
              </w:numPr>
              <w:jc w:val="center"/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r>
            <w:r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r>
          </w:p>
        </w:tc>
        <w:tc>
          <w:tcPr>
            <w:shd w:val="clear" w:color="auto" w:fill="1f3864" w:themeFill="accent5" w:themeFillShade="80"/>
            <w:tcW w:w="0" w:type="auto"/>
            <w:vAlign w:val="center"/>
            <w:textDirection w:val="lrTb"/>
            <w:noWrap w:val="false"/>
          </w:tcPr>
          <w:p>
            <w:pPr>
              <w:pStyle w:val="648"/>
              <w:numPr>
                <w:ilvl w:val="0"/>
                <w:numId w:val="0"/>
              </w:numPr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ffffff" w:themeColor="background1"/>
                <w:sz w:val="20"/>
                <w:szCs w:val="20"/>
              </w:rPr>
              <w:t xml:space="preserve">Позитивный опыт</w:t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</w:p>
        </w:tc>
        <w:tc>
          <w:tcPr>
            <w:shd w:val="clear" w:color="auto" w:fill="1f3864" w:themeFill="accent5" w:themeFillShade="80"/>
            <w:tcW w:w="0" w:type="auto"/>
            <w:vAlign w:val="center"/>
            <w:textDirection w:val="lrTb"/>
            <w:noWrap w:val="false"/>
          </w:tcPr>
          <w:p>
            <w:pPr>
              <w:pStyle w:val="648"/>
              <w:numPr>
                <w:ilvl w:val="0"/>
                <w:numId w:val="0"/>
              </w:numPr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ffffff" w:themeColor="background1"/>
                <w:sz w:val="20"/>
                <w:szCs w:val="20"/>
              </w:rPr>
              <w:t xml:space="preserve">Негативный опыт/Барьеры</w:t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</w:p>
        </w:tc>
        <w:tc>
          <w:tcPr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pStyle w:val="648"/>
              <w:numPr>
                <w:ilvl w:val="0"/>
                <w:numId w:val="0"/>
              </w:numPr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pPr>
            <w:r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r>
            <w:r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left w:val="single" w:color="8EAADB" w:sz="4" w:space="0"/>
            </w:tcBorders>
            <w:tcW w:w="0" w:type="auto"/>
            <w:textDirection w:val="lrTb"/>
            <w:noWrap w:val="false"/>
          </w:tcPr>
          <w:p>
            <w:pPr>
              <w:pStyle w:val="648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648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Поиск информации </w:t>
            </w: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648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Найти информацию 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648"/>
              <w:numPr>
                <w:ilvl w:val="0"/>
                <w:numId w:val="0"/>
              </w:numPr>
              <w:tabs>
                <w:tab w:val="left" w:pos="281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Ищет информацию о мероприятии в: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pStyle w:val="648"/>
              <w:numPr>
                <w:ilvl w:val="0"/>
                <w:numId w:val="2"/>
              </w:numPr>
              <w:ind w:left="0" w:firstLine="0"/>
              <w:tabs>
                <w:tab w:val="left" w:pos="281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интернете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pStyle w:val="648"/>
              <w:numPr>
                <w:ilvl w:val="0"/>
                <w:numId w:val="2"/>
              </w:numPr>
              <w:ind w:left="0" w:firstLine="0"/>
              <w:tabs>
                <w:tab w:val="left" w:pos="281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тематических сообществах в социальных сетях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pStyle w:val="648"/>
              <w:numPr>
                <w:ilvl w:val="0"/>
                <w:numId w:val="2"/>
              </w:numPr>
              <w:ind w:left="0" w:firstLine="0"/>
              <w:tabs>
                <w:tab w:val="left" w:pos="281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узнает через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государственные (муниципальные) органы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648"/>
              <w:numPr>
                <w:ilvl w:val="0"/>
                <w:numId w:val="2"/>
              </w:numPr>
              <w:ind w:left="0" w:firstLine="0"/>
              <w:tabs>
                <w:tab w:val="left" w:pos="281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Министерство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pStyle w:val="648"/>
              <w:numPr>
                <w:ilvl w:val="0"/>
                <w:numId w:val="2"/>
              </w:numPr>
              <w:ind w:left="0" w:firstLine="0"/>
              <w:tabs>
                <w:tab w:val="left" w:pos="281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Иные органы власти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pStyle w:val="648"/>
              <w:numPr>
                <w:ilvl w:val="0"/>
                <w:numId w:val="2"/>
              </w:numPr>
              <w:ind w:left="0" w:firstLine="0"/>
              <w:tabs>
                <w:tab w:val="left" w:pos="281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Информационные материалы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pStyle w:val="648"/>
              <w:numPr>
                <w:ilvl w:val="0"/>
                <w:numId w:val="2"/>
              </w:numPr>
              <w:ind w:left="0" w:firstLine="0"/>
              <w:tabs>
                <w:tab w:val="left" w:pos="281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Сайт министерства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pStyle w:val="648"/>
              <w:numPr>
                <w:ilvl w:val="0"/>
                <w:numId w:val="0"/>
              </w:numPr>
              <w:tabs>
                <w:tab w:val="left" w:pos="281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pStyle w:val="648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pStyle w:val="648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648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Позитивно</w:t>
            </w: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648"/>
              <w:numPr>
                <w:ilvl w:val="0"/>
                <w:numId w:val="2"/>
              </w:numPr>
              <w:ind w:left="0" w:firstLine="0"/>
              <w:tabs>
                <w:tab w:val="left" w:pos="281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Кол-во запрашиваемых документов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pStyle w:val="648"/>
              <w:numPr>
                <w:ilvl w:val="0"/>
                <w:numId w:val="2"/>
              </w:numPr>
              <w:ind w:left="0" w:firstLine="0"/>
              <w:tabs>
                <w:tab w:val="left" w:pos="281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Кол-во походов в ведомства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pStyle w:val="648"/>
              <w:numPr>
                <w:ilvl w:val="0"/>
                <w:numId w:val="2"/>
              </w:numPr>
              <w:ind w:left="0" w:firstLine="0"/>
              <w:tabs>
                <w:tab w:val="left" w:pos="281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Кол-во потраченного времени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W w:w="0" w:type="auto"/>
            <w:textDirection w:val="lrTb"/>
            <w:noWrap w:val="false"/>
          </w:tcPr>
          <w:p>
            <w:pPr>
              <w:pStyle w:val="648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Помогли сотрудники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органов власти</w:t>
            </w: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r>
          </w:p>
        </w:tc>
        <w:tc>
          <w:tcPr>
            <w:shd w:val="clear" w:color="auto" w:fill="auto"/>
            <w:tcW w:w="0" w:type="auto"/>
            <w:textDirection w:val="lrTb"/>
            <w:noWrap w:val="false"/>
          </w:tcPr>
          <w:p>
            <w:pPr>
              <w:pStyle w:val="648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Тратит много времени на поиск информации, с трудом находит необходимую информацию в интернете.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right w:val="single" w:color="8EAADB" w:themeColor="accent5" w:themeTint="99" w:sz="4" w:space="0"/>
            </w:tcBorders>
            <w:tcW w:w="0" w:type="auto"/>
            <w:textDirection w:val="lrTb"/>
            <w:noWrap w:val="false"/>
          </w:tcPr>
          <w:p>
            <w:pPr>
              <w:pStyle w:val="650"/>
              <w:contextualSpacing/>
              <w:tabs>
                <w:tab w:val="left" w:pos="163" w:leader="none"/>
                <w:tab w:val="left" w:pos="281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Реализовать единое цифровое пространство со всей необходимой информацией 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648"/>
              <w:numPr>
                <w:ilvl w:val="0"/>
                <w:numId w:val="0"/>
              </w:numPr>
              <w:tabs>
                <w:tab w:val="left" w:pos="281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2408"/>
        </w:trPr>
        <w:tc>
          <w:tcPr>
            <w:tcBorders>
              <w:left w:val="single" w:color="8EAADB" w:sz="4" w:space="0"/>
            </w:tcBorders>
            <w:tcW w:w="0" w:type="auto"/>
            <w:textDirection w:val="lrTb"/>
            <w:noWrap w:val="false"/>
          </w:tcPr>
          <w:p>
            <w:pPr>
              <w:pStyle w:val="648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648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Сбор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 необходимы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х документов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648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Представление документов в министерство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648"/>
              <w:numPr>
                <w:ilvl w:val="0"/>
                <w:numId w:val="2"/>
              </w:numPr>
              <w:ind w:left="0" w:firstLine="0"/>
              <w:tabs>
                <w:tab w:val="left" w:pos="281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Ищет перечень документов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pStyle w:val="648"/>
              <w:numPr>
                <w:ilvl w:val="0"/>
                <w:numId w:val="2"/>
              </w:numPr>
              <w:ind w:left="0" w:firstLine="0"/>
              <w:tabs>
                <w:tab w:val="left" w:pos="281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Собирает имеющиеся документы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pStyle w:val="648"/>
              <w:numPr>
                <w:ilvl w:val="0"/>
                <w:numId w:val="2"/>
              </w:numPr>
              <w:ind w:left="0" w:firstLine="0"/>
              <w:tabs>
                <w:tab w:val="left" w:pos="281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Делает запрос в необходимые ведомства и организации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648"/>
              <w:numPr>
                <w:ilvl w:val="0"/>
                <w:numId w:val="2"/>
              </w:numPr>
              <w:ind w:left="0" w:firstLine="0"/>
              <w:tabs>
                <w:tab w:val="left" w:pos="281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Министерство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pStyle w:val="648"/>
              <w:numPr>
                <w:ilvl w:val="0"/>
                <w:numId w:val="2"/>
              </w:numPr>
              <w:ind w:left="0" w:firstLine="0"/>
              <w:tabs>
                <w:tab w:val="left" w:pos="281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Сайт министерства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pStyle w:val="648"/>
              <w:numPr>
                <w:ilvl w:val="0"/>
                <w:numId w:val="0"/>
              </w:numPr>
              <w:tabs>
                <w:tab w:val="left" w:pos="281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648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Нейтрально</w:t>
            </w:r>
            <w:r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648"/>
              <w:numPr>
                <w:ilvl w:val="0"/>
                <w:numId w:val="2"/>
              </w:numPr>
              <w:ind w:left="0" w:firstLine="0"/>
              <w:tabs>
                <w:tab w:val="left" w:pos="281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Кол-во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представляемых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документов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pStyle w:val="648"/>
              <w:numPr>
                <w:ilvl w:val="0"/>
                <w:numId w:val="2"/>
              </w:numPr>
              <w:ind w:left="0" w:firstLine="0"/>
              <w:tabs>
                <w:tab w:val="left" w:pos="281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Кол-во походов в ведомства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и спортивные организации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pStyle w:val="648"/>
              <w:numPr>
                <w:ilvl w:val="0"/>
                <w:numId w:val="2"/>
              </w:numPr>
              <w:ind w:left="0" w:firstLine="0"/>
              <w:tabs>
                <w:tab w:val="left" w:pos="281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Кол-во потраченного времени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W w:w="0" w:type="auto"/>
            <w:textDirection w:val="lrTb"/>
            <w:noWrap w:val="false"/>
          </w:tcPr>
          <w:p>
            <w:pPr>
              <w:pStyle w:val="648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Помогли сотрудники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министерства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W w:w="0" w:type="auto"/>
            <w:textDirection w:val="lrTb"/>
            <w:noWrap w:val="false"/>
          </w:tcPr>
          <w:p>
            <w:pPr>
              <w:pStyle w:val="648"/>
              <w:numPr>
                <w:ilvl w:val="0"/>
                <w:numId w:val="0"/>
              </w:numPr>
              <w:tabs>
                <w:tab w:val="left" w:pos="215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Тратит много времени на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запрос документов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pStyle w:val="648"/>
              <w:numPr>
                <w:ilvl w:val="0"/>
                <w:numId w:val="0"/>
              </w:numPr>
              <w:tabs>
                <w:tab w:val="left" w:pos="215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Необходимо очное посещение органов и организаций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pStyle w:val="648"/>
              <w:numPr>
                <w:ilvl w:val="0"/>
                <w:numId w:val="0"/>
              </w:numPr>
              <w:tabs>
                <w:tab w:val="left" w:pos="215" w:leader="none"/>
              </w:tabs>
              <w:rPr>
                <w:rFonts w:ascii="Times New Roman" w:hAnsi="Times New Roman" w:cs="Times New Roman"/>
                <w:color w:val="c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c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c00000"/>
                <w:sz w:val="20"/>
                <w:szCs w:val="20"/>
                <w:highlight w:val="yellow"/>
              </w:rPr>
            </w:r>
          </w:p>
        </w:tc>
        <w:tc>
          <w:tcPr>
            <w:tcBorders>
              <w:right w:val="single" w:color="8EAADB" w:sz="4" w:space="0"/>
            </w:tcBorders>
            <w:tcW w:w="0" w:type="auto"/>
            <w:textDirection w:val="lrTb"/>
            <w:noWrap w:val="false"/>
          </w:tcPr>
          <w:p>
            <w:pPr>
              <w:pStyle w:val="650"/>
              <w:contextualSpacing/>
              <w:tabs>
                <w:tab w:val="left" w:pos="163" w:leader="none"/>
                <w:tab w:val="left" w:pos="281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Реализовать единое цифровое пространство со всей необходимой информацией 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648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</w:tr>
      <w:tr>
        <w:tblPrEx/>
        <w:trPr>
          <w:trHeight w:val="399"/>
        </w:trPr>
        <w:tc>
          <w:tcPr>
            <w:tcBorders>
              <w:left w:val="single" w:color="8EAADB" w:sz="4" w:space="0"/>
            </w:tcBorders>
            <w:tcW w:w="0" w:type="auto"/>
            <w:textDirection w:val="lrTb"/>
            <w:noWrap w:val="false"/>
          </w:tcPr>
          <w:p>
            <w:pPr>
              <w:pStyle w:val="648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648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Обращение в министерство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648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Получение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госуслуги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648"/>
              <w:numPr>
                <w:ilvl w:val="0"/>
                <w:numId w:val="0"/>
              </w:numPr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Представляет перечень документов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648"/>
              <w:numPr>
                <w:ilvl w:val="0"/>
                <w:numId w:val="2"/>
              </w:numPr>
              <w:ind w:left="0" w:firstLine="0"/>
              <w:tabs>
                <w:tab w:val="left" w:pos="281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Министерство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pStyle w:val="648"/>
              <w:numPr>
                <w:ilvl w:val="0"/>
                <w:numId w:val="0"/>
              </w:numPr>
              <w:tabs>
                <w:tab w:val="left" w:pos="281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648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Нейтрально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648"/>
              <w:numPr>
                <w:ilvl w:val="0"/>
                <w:numId w:val="2"/>
              </w:numPr>
              <w:ind w:left="0" w:firstLine="0"/>
              <w:tabs>
                <w:tab w:val="left" w:pos="281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Кол-во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представляемы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документов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pStyle w:val="648"/>
              <w:numPr>
                <w:ilvl w:val="0"/>
                <w:numId w:val="2"/>
              </w:numPr>
              <w:ind w:left="0" w:firstLine="0"/>
              <w:tabs>
                <w:tab w:val="left" w:pos="281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Кол-во походов в ведомства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pStyle w:val="648"/>
              <w:numPr>
                <w:ilvl w:val="0"/>
                <w:numId w:val="2"/>
              </w:numPr>
              <w:ind w:left="0" w:firstLine="0"/>
              <w:tabs>
                <w:tab w:val="left" w:pos="281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Кол-во потраченного времени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W w:w="0" w:type="auto"/>
            <w:textDirection w:val="lrTb"/>
            <w:noWrap w:val="false"/>
          </w:tcPr>
          <w:p>
            <w:pPr>
              <w:pStyle w:val="648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Помогли сотрудники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министерства 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pStyle w:val="648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Быстрое рассмотрение документов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W w:w="0" w:type="auto"/>
            <w:textDirection w:val="lrTb"/>
            <w:noWrap w:val="false"/>
          </w:tcPr>
          <w:p>
            <w:pPr>
              <w:pStyle w:val="648"/>
              <w:numPr>
                <w:ilvl w:val="0"/>
                <w:numId w:val="0"/>
              </w:numPr>
              <w:tabs>
                <w:tab w:val="left" w:pos="215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Тратит много времени на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посещение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министерства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pStyle w:val="648"/>
              <w:numPr>
                <w:ilvl w:val="0"/>
                <w:numId w:val="0"/>
              </w:numPr>
              <w:tabs>
                <w:tab w:val="left" w:pos="215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Долгое рассмотрение документов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pStyle w:val="648"/>
              <w:numPr>
                <w:ilvl w:val="0"/>
                <w:numId w:val="0"/>
              </w:numPr>
              <w:tabs>
                <w:tab w:val="left" w:pos="215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Получение отказа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в рассмотрении документов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right w:val="single" w:color="8EAADB" w:themeColor="accent5" w:themeTint="99" w:sz="4" w:space="0"/>
            </w:tcBorders>
            <w:tcW w:w="0" w:type="auto"/>
            <w:textDirection w:val="lrTb"/>
            <w:noWrap w:val="false"/>
          </w:tcPr>
          <w:p>
            <w:pPr>
              <w:pStyle w:val="650"/>
              <w:contextualSpacing/>
              <w:tabs>
                <w:tab w:val="left" w:pos="163" w:leader="none"/>
                <w:tab w:val="left" w:pos="281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Реализовать единое цифровое </w:t>
            </w:r>
            <w:r>
              <w:rPr>
                <w:rFonts w:ascii="Times New Roman" w:hAnsi="Times New Roman" w:eastAsia="Times New Roman" w:cs="Times New Roman"/>
              </w:rPr>
              <w:t xml:space="preserve">пространство со всей необходимой информацией 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648"/>
              <w:numPr>
                <w:ilvl w:val="0"/>
                <w:numId w:val="0"/>
              </w:numPr>
              <w:ind w:left="105"/>
              <w:tabs>
                <w:tab w:val="left" w:pos="0" w:leader="none"/>
                <w:tab w:val="left" w:pos="320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</w:tr>
      <w:tr>
        <w:tblPrEx/>
        <w:trPr/>
        <w:tc>
          <w:tcPr>
            <w:tcBorders>
              <w:left w:val="single" w:color="8EAADB" w:sz="4" w:space="0"/>
            </w:tcBorders>
            <w:tcW w:w="0" w:type="auto"/>
            <w:textDirection w:val="lrTb"/>
            <w:noWrap w:val="false"/>
          </w:tcPr>
          <w:p>
            <w:pPr>
              <w:pStyle w:val="648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648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Получение результата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648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Получение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заключения от министерства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648"/>
              <w:numPr>
                <w:ilvl w:val="0"/>
                <w:numId w:val="0"/>
              </w:numPr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Ожидает уведомление о результате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648"/>
              <w:numPr>
                <w:ilvl w:val="0"/>
                <w:numId w:val="2"/>
              </w:numPr>
              <w:ind w:left="0" w:firstLine="0"/>
              <w:tabs>
                <w:tab w:val="left" w:pos="281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Министерство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pStyle w:val="648"/>
              <w:numPr>
                <w:ilvl w:val="0"/>
                <w:numId w:val="2"/>
              </w:numPr>
              <w:ind w:left="0" w:firstLine="0"/>
              <w:tabs>
                <w:tab w:val="left" w:pos="281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Почтовая служба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648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Позитивно/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pStyle w:val="648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Негативно</w:t>
            </w:r>
            <w:r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648"/>
              <w:numPr>
                <w:ilvl w:val="0"/>
                <w:numId w:val="2"/>
              </w:numPr>
              <w:ind w:left="0" w:firstLine="0"/>
              <w:tabs>
                <w:tab w:val="left" w:pos="281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Кол-во походов в ведомства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pStyle w:val="648"/>
              <w:numPr>
                <w:ilvl w:val="0"/>
                <w:numId w:val="2"/>
              </w:numPr>
              <w:ind w:left="0" w:firstLine="0"/>
              <w:tabs>
                <w:tab w:val="left" w:pos="281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Кол-во потраченного времени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W w:w="0" w:type="auto"/>
            <w:textDirection w:val="lrTb"/>
            <w:noWrap w:val="false"/>
          </w:tcPr>
          <w:p>
            <w:pPr>
              <w:pStyle w:val="648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Быстрое решение министерства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pStyle w:val="648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pStyle w:val="648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Положительная оценка от министерства</w:t>
            </w:r>
            <w:r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r>
          </w:p>
        </w:tc>
        <w:tc>
          <w:tcPr>
            <w:shd w:val="clear" w:color="auto" w:fill="auto"/>
            <w:tcW w:w="0" w:type="auto"/>
            <w:textDirection w:val="lrTb"/>
            <w:noWrap w:val="false"/>
          </w:tcPr>
          <w:p>
            <w:pPr>
              <w:pStyle w:val="648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Долгое решение министерства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pStyle w:val="648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pStyle w:val="648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c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отрицательная</w:t>
            </w:r>
            <w:bookmarkStart w:id="0" w:name="_GoBack"/>
            <w:r>
              <w:rPr>
                <w:rFonts w:ascii="Times New Roman" w:hAnsi="Times New Roman" w:eastAsia="Times New Roman" w:cs="Times New Roman"/>
              </w:rPr>
            </w:r>
            <w:bookmarkEnd w:id="0"/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оценка от министерства</w:t>
            </w:r>
            <w:r>
              <w:rPr>
                <w:rFonts w:ascii="Times New Roman" w:hAnsi="Times New Roman" w:cs="Times New Roman"/>
                <w:color w:val="c00000"/>
                <w:sz w:val="20"/>
                <w:szCs w:val="20"/>
                <w:highlight w:val="yellow"/>
              </w:rPr>
            </w:r>
          </w:p>
        </w:tc>
        <w:tc>
          <w:tcPr>
            <w:tcBorders>
              <w:right w:val="single" w:color="8EAADB" w:themeColor="accent5" w:themeTint="99" w:sz="4" w:space="0"/>
            </w:tcBorders>
            <w:tcW w:w="0" w:type="auto"/>
            <w:textDirection w:val="lrTb"/>
            <w:noWrap w:val="false"/>
          </w:tcPr>
          <w:p>
            <w:pPr>
              <w:pStyle w:val="650"/>
              <w:contextualSpacing/>
              <w:tabs>
                <w:tab w:val="left" w:pos="163" w:leader="none"/>
                <w:tab w:val="left" w:pos="281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Реализовать единое цифровое пространство со всей необходимой информацией 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648"/>
              <w:numPr>
                <w:ilvl w:val="0"/>
                <w:numId w:val="0"/>
              </w:numPr>
              <w:tabs>
                <w:tab w:val="left" w:pos="163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</w:tr>
    </w:tbl>
    <w:p>
      <w:pPr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</w:p>
    <w:sectPr>
      <w:footnotePr/>
      <w:endnotePr/>
      <w:type w:val="nextPage"/>
      <w:pgSz w:w="16838" w:h="11906" w:orient="landscape"/>
      <w:pgMar w:top="709" w:right="1134" w:bottom="850" w:left="1134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Wingdings">
    <w:panose1 w:val="05010000000000000000"/>
  </w:font>
  <w:font w:name="Courier New">
    <w:panose1 w:val="02070309020205020404"/>
  </w:font>
  <w:font w:name="Golos Text">
    <w:panose1 w:val="02000603000000000000"/>
  </w:font>
  <w:font w:name="Symbol">
    <w:panose1 w:val="05010000000000000000"/>
  </w:font>
  <w:font w:name="Segoe UI">
    <w:panose1 w:val="020B0502040504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8" w:hanging="360"/>
      </w:pPr>
      <w:rPr>
        <w:rFonts w:hint="default" w:ascii="Symbol" w:hAnsi="Symbol"/>
        <w:color w:val="bfbfbf" w:themeColor="background1" w:themeShade="BF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bullet"/>
      <w:pStyle w:val="648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57" w:hanging="357"/>
      </w:pPr>
      <w:rPr>
        <w:rFonts w:hint="default"/>
        <w:sz w:val="22"/>
      </w:rPr>
    </w:lvl>
    <w:lvl w:ilvl="1">
      <w:start w:val="1"/>
      <w:numFmt w:val="decimal"/>
      <w:isLgl w:val="false"/>
      <w:suff w:val="tab"/>
      <w:lvlText w:val="%1.%2."/>
      <w:lvlJc w:val="left"/>
      <w:pPr>
        <w:ind w:left="284" w:firstLine="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6"/>
  </w:num>
  <w:num w:numId="6">
    <w:abstractNumId w:val="0"/>
  </w:num>
  <w:num w:numId="7">
    <w:abstractNumId w:val="4"/>
  </w:num>
  <w:num w:numId="8">
    <w:abstractNumId w:val="4"/>
  </w:num>
  <w:num w:numId="9">
    <w:abstractNumId w:val="4"/>
  </w:num>
  <w:num w:numId="10">
    <w:abstractNumId w:val="4"/>
  </w:num>
  <w:num w:numId="11">
    <w:abstractNumId w:val="4"/>
  </w:num>
  <w:num w:numId="12">
    <w:abstractNumId w:val="4"/>
  </w:num>
  <w:num w:numId="13">
    <w:abstractNumId w:val="4"/>
  </w:num>
  <w:num w:numId="14">
    <w:abstractNumId w:val="2"/>
  </w:num>
  <w:num w:numId="15">
    <w:abstractNumId w:val="4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40"/>
    <w:next w:val="640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43"/>
    <w:link w:val="13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643"/>
    <w:link w:val="641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643"/>
    <w:link w:val="642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40"/>
    <w:next w:val="640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43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40"/>
    <w:next w:val="640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43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40"/>
    <w:next w:val="640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43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40"/>
    <w:next w:val="640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43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40"/>
    <w:next w:val="640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43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40"/>
    <w:next w:val="640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43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40"/>
    <w:next w:val="640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43"/>
    <w:link w:val="34"/>
    <w:uiPriority w:val="10"/>
    <w:rPr>
      <w:sz w:val="48"/>
      <w:szCs w:val="48"/>
    </w:rPr>
  </w:style>
  <w:style w:type="paragraph" w:styleId="36">
    <w:name w:val="Subtitle"/>
    <w:basedOn w:val="640"/>
    <w:next w:val="640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43"/>
    <w:link w:val="36"/>
    <w:uiPriority w:val="11"/>
    <w:rPr>
      <w:sz w:val="24"/>
      <w:szCs w:val="24"/>
    </w:rPr>
  </w:style>
  <w:style w:type="paragraph" w:styleId="38">
    <w:name w:val="Quote"/>
    <w:basedOn w:val="640"/>
    <w:next w:val="640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40"/>
    <w:next w:val="640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40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43"/>
    <w:link w:val="42"/>
    <w:uiPriority w:val="99"/>
  </w:style>
  <w:style w:type="paragraph" w:styleId="44">
    <w:name w:val="Footer"/>
    <w:basedOn w:val="640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43"/>
    <w:link w:val="44"/>
    <w:uiPriority w:val="99"/>
  </w:style>
  <w:style w:type="paragraph" w:styleId="46">
    <w:name w:val="Caption"/>
    <w:basedOn w:val="640"/>
    <w:next w:val="64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9">
    <w:name w:val="Table Grid Light"/>
    <w:basedOn w:val="64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4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4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6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6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6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6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40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43"/>
    <w:uiPriority w:val="99"/>
    <w:unhideWhenUsed/>
    <w:rPr>
      <w:vertAlign w:val="superscript"/>
    </w:rPr>
  </w:style>
  <w:style w:type="paragraph" w:styleId="178">
    <w:name w:val="endnote text"/>
    <w:basedOn w:val="640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43"/>
    <w:uiPriority w:val="99"/>
    <w:semiHidden/>
    <w:unhideWhenUsed/>
    <w:rPr>
      <w:vertAlign w:val="superscript"/>
    </w:rPr>
  </w:style>
  <w:style w:type="paragraph" w:styleId="181">
    <w:name w:val="toc 1"/>
    <w:basedOn w:val="640"/>
    <w:next w:val="640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40"/>
    <w:next w:val="640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40"/>
    <w:next w:val="640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40"/>
    <w:next w:val="640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40"/>
    <w:next w:val="640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40"/>
    <w:next w:val="640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40"/>
    <w:next w:val="640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40"/>
    <w:next w:val="640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40"/>
    <w:next w:val="640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40"/>
    <w:next w:val="640"/>
    <w:uiPriority w:val="99"/>
    <w:unhideWhenUsed/>
    <w:pPr>
      <w:spacing w:after="0" w:afterAutospacing="0"/>
    </w:pPr>
  </w:style>
  <w:style w:type="paragraph" w:styleId="640" w:default="1">
    <w:name w:val="Normal"/>
    <w:qFormat/>
  </w:style>
  <w:style w:type="paragraph" w:styleId="641">
    <w:name w:val="Heading 2"/>
    <w:basedOn w:val="640"/>
    <w:next w:val="640"/>
    <w:link w:val="655"/>
    <w:uiPriority w:val="9"/>
    <w:unhideWhenUsed/>
    <w:qFormat/>
    <w:pPr>
      <w:keepLines/>
      <w:keepNext/>
      <w:spacing w:before="40" w:after="0"/>
      <w:outlineLvl w:val="1"/>
    </w:pPr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w:type="paragraph" w:styleId="642">
    <w:name w:val="Heading 3"/>
    <w:basedOn w:val="640"/>
    <w:next w:val="640"/>
    <w:link w:val="646"/>
    <w:uiPriority w:val="9"/>
    <w:semiHidden/>
    <w:unhideWhenUsed/>
    <w:qFormat/>
    <w:pPr>
      <w:keepLines/>
      <w:keepNext/>
      <w:spacing w:before="40" w:after="0"/>
      <w:outlineLvl w:val="2"/>
    </w:pPr>
    <w:rPr>
      <w:rFonts w:asciiTheme="majorHAnsi" w:hAnsiTheme="majorHAnsi" w:eastAsiaTheme="majorEastAsia" w:cstheme="majorBidi"/>
      <w:color w:val="1f4e79" w:themeColor="accent1" w:themeShade="80"/>
      <w:sz w:val="24"/>
      <w:szCs w:val="24"/>
    </w:rPr>
  </w:style>
  <w:style w:type="character" w:styleId="643" w:default="1">
    <w:name w:val="Default Paragraph Font"/>
    <w:uiPriority w:val="1"/>
    <w:unhideWhenUsed/>
  </w:style>
  <w:style w:type="table" w:styleId="64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45" w:default="1">
    <w:name w:val="No List"/>
    <w:uiPriority w:val="99"/>
    <w:semiHidden/>
    <w:unhideWhenUsed/>
  </w:style>
  <w:style w:type="character" w:styleId="646" w:customStyle="1">
    <w:name w:val="Заголовок 3 Знак"/>
    <w:basedOn w:val="643"/>
    <w:link w:val="642"/>
    <w:uiPriority w:val="9"/>
    <w:semiHidden/>
    <w:rPr>
      <w:rFonts w:asciiTheme="majorHAnsi" w:hAnsiTheme="majorHAnsi" w:eastAsiaTheme="majorEastAsia" w:cstheme="majorBidi"/>
      <w:color w:val="1f4e79" w:themeColor="accent1" w:themeShade="80"/>
      <w:sz w:val="24"/>
      <w:szCs w:val="24"/>
    </w:rPr>
  </w:style>
  <w:style w:type="table" w:styleId="647">
    <w:name w:val="Table Grid"/>
    <w:basedOn w:val="644"/>
    <w:uiPriority w:val="39"/>
    <w:qFormat/>
    <w:pPr>
      <w:spacing w:after="0" w:line="240" w:lineRule="auto"/>
    </w:pPr>
    <w:rPr>
      <w:rFonts w:eastAsiaTheme="minorEastAsia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648" w:customStyle="1">
    <w:name w:val="Булеты"/>
    <w:basedOn w:val="652"/>
    <w:link w:val="649"/>
    <w:qFormat/>
    <w:pPr>
      <w:numPr>
        <w:ilvl w:val="0"/>
        <w:numId w:val="1"/>
      </w:numPr>
    </w:pPr>
    <w:rPr>
      <w:rFonts w:eastAsiaTheme="minorEastAsia"/>
    </w:rPr>
  </w:style>
  <w:style w:type="character" w:styleId="649" w:customStyle="1">
    <w:name w:val="Булеты Знак"/>
    <w:basedOn w:val="643"/>
    <w:link w:val="648"/>
    <w:qFormat/>
    <w:rPr>
      <w:rFonts w:eastAsiaTheme="minorEastAsia"/>
    </w:rPr>
  </w:style>
  <w:style w:type="paragraph" w:styleId="650">
    <w:name w:val="annotation text"/>
    <w:basedOn w:val="640"/>
    <w:link w:val="651"/>
    <w:uiPriority w:val="99"/>
    <w:unhideWhenUsed/>
    <w:qFormat/>
    <w:pPr>
      <w:spacing w:line="240" w:lineRule="auto"/>
    </w:pPr>
    <w:rPr>
      <w:rFonts w:eastAsiaTheme="minorEastAsia"/>
      <w:sz w:val="20"/>
      <w:szCs w:val="20"/>
    </w:rPr>
  </w:style>
  <w:style w:type="character" w:styleId="651" w:customStyle="1">
    <w:name w:val="Текст примечания Знак"/>
    <w:basedOn w:val="643"/>
    <w:link w:val="650"/>
    <w:uiPriority w:val="99"/>
    <w:qFormat/>
    <w:rPr>
      <w:rFonts w:eastAsiaTheme="minorEastAsia"/>
      <w:sz w:val="20"/>
      <w:szCs w:val="20"/>
    </w:rPr>
  </w:style>
  <w:style w:type="paragraph" w:styleId="652">
    <w:name w:val="List Paragraph"/>
    <w:basedOn w:val="640"/>
    <w:uiPriority w:val="34"/>
    <w:qFormat/>
    <w:pPr>
      <w:contextualSpacing/>
      <w:ind w:left="720"/>
    </w:pPr>
  </w:style>
  <w:style w:type="paragraph" w:styleId="653">
    <w:name w:val="Balloon Text"/>
    <w:basedOn w:val="640"/>
    <w:link w:val="654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654" w:customStyle="1">
    <w:name w:val="Текст выноски Знак"/>
    <w:basedOn w:val="643"/>
    <w:link w:val="653"/>
    <w:uiPriority w:val="99"/>
    <w:semiHidden/>
    <w:rPr>
      <w:rFonts w:ascii="Segoe UI" w:hAnsi="Segoe UI" w:cs="Segoe UI"/>
      <w:sz w:val="18"/>
      <w:szCs w:val="18"/>
    </w:rPr>
  </w:style>
  <w:style w:type="character" w:styleId="655" w:customStyle="1">
    <w:name w:val="Заголовок 2 Знак"/>
    <w:basedOn w:val="643"/>
    <w:link w:val="641"/>
    <w:uiPriority w:val="9"/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Кондратьева Дарья Владимировна</dc:creator>
  <cp:revision>2</cp:revision>
  <dcterms:created xsi:type="dcterms:W3CDTF">2024-01-25T09:47:00Z</dcterms:created>
  <dcterms:modified xsi:type="dcterms:W3CDTF">2024-01-26T07:44:59Z</dcterms:modified>
</cp:coreProperties>
</file>